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AgrarGeoSchDG — Abruf, Verarbeitung und Löschung von Daten</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Sieht eine Vorschrift des Agrargeoschutzrechts vor, dass eine behördliche Mitteilung zu machen ist oder gemacht werden kann, so kann diese Mitteilung auch dadurch erfolgen, dass dem Empfänger der Mitteilung die Möglichkeit eines digitalen Abrufs eröffnet wird.</w:t>
      </w:r>
    </w:p>
    <w:p>
      <w:r>
        <w:t xml:space="preserve">(2) In Ergänzung zu Artikel 3 der Verordnung (EU) 2024/1143 dürfen auch personenbezogene Daten, die im Rahmen des Teils 2 Abschnitt 1 dieses Gesetzes erhoben werden, durch die für die Durchführung der in Absatz 1 genannten Vorschriften zuständigen Stellen verarbeitet werden, soweit dies für die Durchführung dieser Vorschriften erforderlich ist.</w:t>
      </w:r>
    </w:p>
    <w:p>
      <w:r>
        <w:t xml:space="preserve">(3) Personenbezogene Daten, die im Rahmen der Herstellungs- und Marktkontrolle sowie der zollamtlichen Überwachung erhoben wurden, sind spätestens fünf Jahre nach Ablauf des Jahres, in dem sie erhoben wurden, zu löschen. Soweit die Daten für Zwecke des Agrargeoschutzrechts weiter benötigt werden, kann die Frist um weitere fünf Jahre verlängert werden. Die Daten sind unverzüglich zu löschen, wenn ihre Verarbeitung unzulässig ist, sie zur Erfüllung einer rechtlichen Verpflichtung gelöscht werden müssen, ihre Kenntnis für Zwecke des Agrargeoschutzrechts nicht mehr erforderlich oder die Aufbewahrungsfrist abgelaufen ist.</w:t>
      </w:r>
    </w:p>
    <w:p>
      <w:r>
        <w:t xml:space="preserve">(4) Jede öffentliche Stelle kann den für die Kontrolle des Agrargeoschutzrechts zuständigen Stellen von Amts wegen Hinweise auf Handlungen, die gegen das Agrargeoschutzrecht verstoßen, mitteilen und die zugehörigen personenbezogenen Daten übermitteln.</w:t>
      </w:r>
    </w:p>
    <w:p>
      <w:r>
        <w:t xml:space="preserve">(5) Die für die Kontrolle des Agrargeoschutzrechts zuständigen Stellen dürfen personenbezogene Daten den für die Einleitung und Durchführung von Bußgeldverfahren nach § 40 zuständigen Stellen übermitteln.</w:t>
      </w:r>
    </w:p>
    <w:p>
      <w:r>
        <w:t xml:space="preserve">(6) Die nach den Absätzen 4 und 5 übermittelten Daten dürfen von den zuständigen Stellen im Rahmen der Wahrnehmung ihrer Befugnisse zu den in den Absätzen 4 und 5 jeweils genannten Zwecken verarbeitet werden.</w:t>
      </w:r>
    </w:p>
    <w:p>
      <w:r>
        <w:rPr>
          <w:color w:val="555555"/>
          <w:sz w:val="17"/>
        </w:rPr>
        <w:t xml:space="preserve">Zitiervorschlag: § 33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