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AgrarGeoSchDG — Amtshilfe zwischen den Mitgliedstaaten und gegenüber Drittstaaten</w:t>
      </w:r>
    </w:p>
    <w:p>
      <w:r>
        <w:rPr>
          <w:color w:val="555555"/>
          <w:sz w:val="18"/>
        </w:rPr>
        <w:t xml:space="preserve">Agrargeoschutz-Durchführungsgesetz</w:t>
      </w:r>
    </w:p>
    <w:p>
      <w:r>
        <w:rPr>
          <w:color w:val="555555"/>
          <w:sz w:val="18"/>
        </w:rPr>
        <w:t xml:space="preserve">Stand: 16.01.2026 (konsolidierte Textfassung, kein amtliches Inkrafttretensdatum)</w:t>
      </w:r>
    </w:p>
    <w:p>
      <w:r>
        <w:t xml:space="preserve">(1) Im Rahmen der Amtshilfe, die nach dem Agrargeoschutzrecht den zuständigen Stellen in anderen Mitgliedstaaten und in Drittstaaten zu leisten ist, übermitteln die zuständigen Stellen die erforderlichen Informationen und Unterlagen, führen geeignete Untersuchungen oder andere angemessene Maßnahmen durch und beteiligen sich an Untersuchungen, die in anderen Mitgliedstaaten oder in Drittstaaten eingeleitet wurden. Die Durchführung der in Satz 1 genannten Amtshilfehandlungen erfolgt auf der Grundlage derjenigen Bestimmungen, die dieses Gesetz und die aufgrund dieses Gesetzes erlassenen Rechtsverordnungen für amtliche Kontrollen sowie für Maßnahmen zur Überwachung und Durchsetzung vorsehen.</w:t>
      </w:r>
    </w:p>
    <w:p>
      <w:r>
        <w:t xml:space="preserve">(2) Die zuständigen Stellen können den zuständigen Stellen in anderen Mitgliedstaaten und in Drittstaaten personenbezogene Daten übermitteln, soweit dies im Rahmen der in Absatz 1 genannten Amtshilfe für die Durchführung des Agrargeoschutzrechts im jeweiligen Mitgliedstaat oder Drittstaat erforderlich ist. Dies schließt die Übermittlung personenbezogener Daten zwischen innerstaatlichen Stellen ein, soweit diese an der Vornahme der Amtshilfe beteiligt und zur Verarbeitung der personenbezogenen Daten befugt sind. Die nach Satz 1 zuständigen Stellen teilen bei der Übermittlung der Daten den zuständigen Stellen des anderen Mitgliedstaates oder des Drittstaates den Zweck der Datenübermittlung und den vorgesehenen Löschungszeitpunkt mit.</w:t>
      </w:r>
    </w:p>
    <w:p>
      <w:r>
        <w:rPr>
          <w:color w:val="555555"/>
          <w:sz w:val="17"/>
        </w:rPr>
        <w:t xml:space="preserve">Zitiervorschlag: § 32 AgrarGeoSchDG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https://recht.nulegal.eu/gesetze/AgrarGeoSchDG/32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