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AgrarGeoSchDG — Behördliche Anordnungen und Maßnahmen zur Überwachung und Durchsetzung;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Behördliche Anordnungen und Maßnahmen zur Überwachung und Durchsetzung des Agrargeoschutzrechts werden auf der Grundlage der jeweils einschlägigen Bestimmungen des Agrargeoschutzrechts getroffen.</w:t>
      </w:r>
    </w:p>
    <w:p>
      <w:r>
        <w:t xml:space="preserve">(2) Soweit ein Erzeugnis nicht in den Anwendungsbereich der Verordnung (EU) 2017/625 oder des Lebensmittel- und Futtermittelgesetzbuches fällt, finden die dort enthaltenen Befugnisse für behördliche Anordnungen und Maßnahmen zur Überwachung und Durchsetzung des Agrargeoschutzrechts im Bereich des Teils 2 Abschnitt 4, insbesondere Artikel 137 Absatz 2 und 3 und Artikel 138 der Verordnung (EU) 2017/625 sowie § 39 Absatz 2, 4, 7 und 7a des Lebensmittel- und Futtermittelgesetzbuchs, hinsichtlich dieses Erzeugnisses entsprechende Anwendung. Satz 1 gilt vorbehaltlich spezieller Regelungen für Erzeugnisse im Weinrecht.</w:t>
      </w:r>
    </w:p>
    <w:p>
      <w:r>
        <w:t xml:space="preserve">(3) Vorbehaltlich der Absätze 1 und 2 können die zuständigen Stellen Anordnungen und Maßnahmen zur Überwachung und Durchsetzung des Agrargeoschutzrechts treffen, die darauf gerichtet sind, das Vorliegen eines Verstoßes gegen das Agrargeoschutzrecht festzustellen, einen festgestellten Verstoß zu beseitigen und einen künftigen Verstoß zu verhüten. Darunter fällt insbesondere auch Folgendes:</w:t>
      </w:r>
    </w:p>
    <w:p>
      <w:pPr>
        <w:ind w:left="420"/>
      </w:pPr>
      <w:r>
        <w:t xml:space="preserve">1. eine nach Artikel 42 Absatz 4 der Verordnung (EU) 2024/1143 erforderliche Sperrung des Zugangs zu einem Domainnamen und</w:t>
      </w:r>
    </w:p>
    <w:p>
      <w:pPr>
        <w:ind w:left="420"/>
      </w:pPr>
      <w:r>
        <w:t xml:space="preserve">2. ein nach Artikel 43 Absatz 2 oder Artikel 75 Absatz 2 der Verordnung (EU) 2024/1143 erforderliches Vorgehen gegen einen rechtswidrigen Inhalt.</w:t>
      </w:r>
    </w:p>
    <w:p>
      <w:r>
        <w:t xml:space="preserve">(4) Behördliche Anordnungen und Maßnahmen nach Absatz 3 können von den zuständigen Stellen auch zur Überwachung und Durchsetzung des Agrargeoschutzrechts im Bereich des Teils 2 Abschnitt 1 und 2 getroffen werden.</w:t>
      </w:r>
    </w:p>
    <w:p>
      <w:r>
        <w:t xml:space="preserve">(5) Auf die Überwachung und Durchsetzung der Bestimmungen zu fakultativen Qualitätsangaben finden diejenigen Befugnisse für behördliche Anordnungen und Maßnahmen Anwendung, die für dasjenige Lebensmittel gelten, das mit einer fakultativen Qualitätsangabe gekennzeichnet ist.</w:t>
      </w:r>
    </w:p>
    <w:p>
      <w:r>
        <w:t xml:space="preserve">(6) Soweit nach den Absätzen 1 bis 5 die gemäß dem Agrargeoschutzrecht oder den Bestimmungen zu fakultativen Qualitätsangaben erforderliche behördliche Überwachung und Durchsetzung nicht gewährleistet ist, wird das Bundesministerium ermächtigt, durch Rechtsverordnung, die der Zustimmung des Bundesrates bedarf, die notwendigen ergänzenden Vorschriften zu erlassen. Dabei kann Folgendes geregelt werden:</w:t>
      </w:r>
    </w:p>
    <w:p>
      <w:pPr>
        <w:ind w:left="420"/>
      </w:pPr>
      <w:r>
        <w:t xml:space="preserve">1. die Befugnis zu spezifischen Anordnungen und Maßnahmen zur Überwachung oder Durchsetzung, soweit diese Befugnis zwingend notwendig ist, um die unionsrechtlich gebotene Einhaltung des Agrargeoschutzrechts sicherzustellen;</w:t>
      </w:r>
    </w:p>
    <w:p>
      <w:pPr>
        <w:ind w:left="420"/>
      </w:pPr>
      <w:r>
        <w:t xml:space="preserve">2. der Erwerb von Erzeugnissen, ohne sich als Überwachungsbehörde zu erkennen zu geben;</w:t>
      </w:r>
    </w:p>
    <w:p>
      <w:pPr>
        <w:ind w:left="420"/>
      </w:pPr>
      <w:r>
        <w:t xml:space="preserve">3. Mitteilungs-, Aufzeichnungs-, Aufbewahrungs-, Auskunfts- und sonstige Unterstützungspflichten;</w:t>
      </w:r>
    </w:p>
    <w:p>
      <w:pPr>
        <w:ind w:left="420"/>
      </w:pPr>
      <w:r>
        <w:t xml:space="preserve">4. die Verpflichtung zur Duldung des Betretens und der Besichtigung von Geschäftsräumen, Betriebsstätten und Transportmitteln, auch an öffentlichen Orten wie insbesondere Märkten, Plätzen und öffentlichen Straßen, während der üblichen Geschäfts- und Betriebszeiten, bei Gefahr im Verzug auch durch Angehörige der Polizei;</w:t>
      </w:r>
    </w:p>
    <w:p>
      <w:pPr>
        <w:ind w:left="420"/>
      </w:pPr>
      <w:r>
        <w:t xml:space="preserve">5. Vornahme von Stichproben gegen Empfangsbescheinigung;</w:t>
      </w:r>
    </w:p>
    <w:p>
      <w:pPr>
        <w:ind w:left="420"/>
      </w:pPr>
      <w:r>
        <w:t xml:space="preserve">6. Einsichtnahme, Prüfung und Vervielfältigung von Geschäftsunterlagen.</w:t>
      </w:r>
    </w:p>
    <w:p>
      <w:r>
        <w:t xml:space="preserve">(7) Bei einem Erwerb nach Absatz 6 Satz 2 Nummer 2 unterrichtet die Kontrollbehörde den Verkäufer nach Erhalt der Ware hierüber. Sie kann vom Verkäufer die Erstattung des Kaufpreises sowie die Versandkosten verlangen, sofern dadurch nicht eine unbillige Härte eintreten würde. Im Falle von Stichproben nach Absatz 6 Satz 2 Nummer 5 ist im Einzelfall eine Entschädigung bis zur Höhe des Verkaufspreises zu leisten, sofern anderenfalls eine unbillige Härte eintreten würde.</w:t>
      </w:r>
    </w:p>
    <w:p>
      <w:r>
        <w:rPr>
          <w:color w:val="555555"/>
          <w:sz w:val="17"/>
        </w:rPr>
        <w:t xml:space="preserve">Zitiervorschlag: § 28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