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AgrarGeoSchDG — Zollamtliche Überwachung;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Das Bundesministerium wird ermächtigt, durch Rechtsverordnung mit Zustimmung des Bundesrates und im Einvernehmen mit dem Bundesministerium der Finanzen Bestimmungen zu erlassen, die die Prüfung der Einhaltung des Agrargeoschutzrechts im Rahmen der zollamtlichen Überwachung betreffen. Dabei können insbesondere die Voraussetzungen und das Verfahren für die Kontrolle von dem Agrargeoschutz unterfallenden Erzeugnissen, die innerhalb der Europäischen Union verbracht oder in diese eingeführt oder aus dieser ausgeführt werden, geregelt werden.</w:t>
      </w:r>
    </w:p>
    <w:p>
      <w:r>
        <w:t xml:space="preserve">(2) Für den Bereich des Agrargeoschutzes sind auf Anträge nach der Verordnung (EU) Nr. 608/2013 und auf Beschlagnahmen im Zusammenhang mit der Verbringung sowie der Einfuhr und der Ausfuhr die §§ 150 und 151 des Markengesetzes anzuwenden.</w:t>
      </w:r>
    </w:p>
    <w:p>
      <w:r>
        <w:rPr>
          <w:color w:val="555555"/>
          <w:sz w:val="17"/>
        </w:rPr>
        <w:t xml:space="preserve">Zitiervorschlag: § 23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