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12 AgrarGeoSchDG — Abschluss der nationalen Phase des Eintragungsverfahrens; Verordnungsermächtigung</w:t>
      </w:r>
    </w:p>
    <w:p>
      <w:r>
        <w:rPr>
          <w:color w:val="555555"/>
          <w:sz w:val="18"/>
        </w:rPr>
        <w:t xml:space="preserve">Agrargeoschutz-Durchführungsgesetz</w:t>
      </w:r>
    </w:p>
    <w:p>
      <w:r>
        <w:rPr>
          <w:color w:val="555555"/>
          <w:sz w:val="18"/>
        </w:rPr>
        <w:t xml:space="preserve">Stand: 16.01.2026 (konsolidierte Textfassung, kein amtliches Inkrafttretensdatum)</w:t>
      </w:r>
    </w:p>
    <w:p>
      <w:r>
        <w:t xml:space="preserve">(1) Das Bundesministerium wird ermächtigt, durch Rechtsverordnung ohne Zustimmung des Bundesrates die Einzelheiten über den Abschluss der nationalen Phase des Eintragungsverfahrens zu regeln, soweit dies für die Durchführung des Agrargeoschutzrechts, insbesondere im Sinne des Artikels 10 Absatz 6 und 7, der Artikel 11, 16 und 56 Absatz 3 Satz 4 und Absatz 4 sowie des Artikels 60 der Verordnung (EU) 2024/1143, erforderlich ist.</w:t>
      </w:r>
    </w:p>
    <w:p>
      <w:r>
        <w:t xml:space="preserve">(2) In einer Rechtsverordnung nach Absatz 1 ist Folgendes zu bestimmen:</w:t>
      </w:r>
    </w:p>
    <w:p>
      <w:pPr>
        <w:ind w:left="420"/>
      </w:pPr>
      <w:r>
        <w:t xml:space="preserve">1. die Form der Entscheidung über die eingereichten Anträge;</w:t>
      </w:r>
    </w:p>
    <w:p>
      <w:pPr>
        <w:ind w:left="420"/>
      </w:pPr>
      <w:r>
        <w:t xml:space="preserve">2. die Veröffentlichung der Entscheidung im Sinne der Nummer 1 sowie der Produktspezifikationen im Bundesanzeiger;</w:t>
      </w:r>
    </w:p>
    <w:p>
      <w:pPr>
        <w:ind w:left="420"/>
      </w:pPr>
      <w:r>
        <w:t xml:space="preserve">3. die Bekanntgabe von Entscheidungen an antragstellende und einspruchsführende Personen;</w:t>
      </w:r>
    </w:p>
    <w:p>
      <w:pPr>
        <w:ind w:left="420"/>
      </w:pPr>
      <w:r>
        <w:t xml:space="preserve">4. die Unterrichtung antragstellender Personen über die Bestandskraft der Entscheidung;</w:t>
      </w:r>
    </w:p>
    <w:p>
      <w:pPr>
        <w:ind w:left="420"/>
      </w:pPr>
      <w:r>
        <w:t xml:space="preserve">5. die Übermittlung von Anträgen einschließlich der Begleitunterlagen sowie anderer erforderlicher Informationen an die Europäische Union;</w:t>
      </w:r>
    </w:p>
    <w:p>
      <w:pPr>
        <w:ind w:left="420"/>
      </w:pPr>
      <w:r>
        <w:t xml:space="preserve">6. Unterrichtungen der Europäischen Union im Zusammenhang mit deutschen Verwaltungs- und Gerichtsverfahren, die der Eintragung einer Schutzbezeichnung entgegenstehen können, sowie die geeigneten Folgemaßnahmen, wenn eine Entscheidung im Sinne der Nummer 1 ganz oder teilweise für ungültig erklärt wird.</w:t>
      </w:r>
    </w:p>
    <w:p>
      <w:r>
        <w:t xml:space="preserve">(3) In einer Rechtsverordnung nach Absatz 1 kann ferner geregelt werden:</w:t>
      </w:r>
    </w:p>
    <w:p>
      <w:pPr>
        <w:ind w:left="420"/>
      </w:pPr>
      <w:r>
        <w:t xml:space="preserve">1. Vorgaben zu Art und Umfang der Berücksichtigung</w:t>
      </w:r>
    </w:p>
    <w:p>
      <w:pPr>
        <w:ind w:left="780"/>
      </w:pPr>
      <w:r>
        <w:t xml:space="preserve">a) des Vortrags aus zulässigen Einsprüchen und</w:t>
      </w:r>
    </w:p>
    <w:p>
      <w:pPr>
        <w:ind w:left="780"/>
      </w:pPr>
      <w:r>
        <w:t xml:space="preserve">b) von Erkenntnissen aus der Anhörung von Fachausschüssen oder eingegangenen Stellungnahmen;</w:t>
      </w:r>
    </w:p>
    <w:p>
      <w:pPr>
        <w:ind w:left="420"/>
      </w:pPr>
      <w:r>
        <w:t xml:space="preserve">2. die Veröffentlichung von mit der Entscheidung verbundenen Unterlagen und Informationen, insbesondere von Antragsänderungen und Einzigen Dokumenten, im Bundesanzeiger;</w:t>
      </w:r>
    </w:p>
    <w:p>
      <w:pPr>
        <w:ind w:left="420"/>
      </w:pPr>
      <w:r>
        <w:t xml:space="preserve">3. der Ausschluss eines Vorverfahrens;</w:t>
      </w:r>
    </w:p>
    <w:p>
      <w:pPr>
        <w:ind w:left="420"/>
      </w:pPr>
      <w:r>
        <w:t xml:space="preserve">4. die Möglichkeit der Zurückweisung von Rechtsbehelfen, soweit sie auf Gründe gestützt werden, die die den Rechtsbehelf führende Person in einem Einspruchsverfahren hätte geltend machen können;</w:t>
      </w:r>
    </w:p>
    <w:p>
      <w:pPr>
        <w:ind w:left="420"/>
      </w:pPr>
      <w:r>
        <w:t xml:space="preserve">5. das Verfahren im Falle einer Aufforderung der Europäischen Union, zusätzliche Informationen zu übermitteln oder den Antrag zu ändern, und im Falle einer Zurückverweisung des Antrags durch die Europäische Union in die nationale Phase, insbesondere die Wiedereröffnung des Antragsverfahrens in der nationalen Phase;</w:t>
      </w:r>
    </w:p>
    <w:p>
      <w:pPr>
        <w:ind w:left="420"/>
      </w:pPr>
      <w:r>
        <w:t xml:space="preserve">6. die Voraussetzungen und das Verfahren für die Gewährung eines Übergangszeitraums in Bezug auf die Einhaltung der Produktspezifikation einschließlich dessen Verlängerung;</w:t>
      </w:r>
    </w:p>
    <w:p>
      <w:pPr>
        <w:ind w:left="420"/>
      </w:pPr>
      <w:r>
        <w:t xml:space="preserve">7. ergänzende Bestimmungen zu den Voraussetzungen und dem Verfahren für die Gewährung eines übergangsweisen nationalen Schutzes während der nationalen Phase und der Unionsphase.</w:t>
      </w:r>
    </w:p>
    <w:p>
      <w:r>
        <w:t xml:space="preserve">(4) Das Bundesministerium wird ermächtigt, durch Rechtsverordnung ohne Zustimmung des Bundesrates die Einzelheiten des Verfahrens im Falle eines Einspruchs auf Unionsebene gegen den Eintragungsantrag zu regeln, soweit dies zur Durchführung des Agrargeoschutzrechts, insbesondere des Artikels 17 Absatz 4 bis 7 und des Artikels 61 Absatz 4 bis 7 der Verordnung (EU) 2024/1143, erforderlich ist. Insbesondere können in einer Rechtsverordnung nach Satz 1 die Durchführung des Konsultationsverfahrens, das Verfahren der Änderung des Eintragungsantrages sowie die Veröffentlichung des geänderten Eintragungsantrages und ein darauf bezogenes Einspruchsverfahren geregelt werden.</w:t>
      </w:r>
    </w:p>
    <w:p>
      <w:r>
        <w:rPr>
          <w:color w:val="555555"/>
          <w:sz w:val="17"/>
        </w:rPr>
        <w:t xml:space="preserve">Zitiervorschlag: § 12 AgrarGeoSchDG</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https://recht.nulegal.eu/gesetze/AgrarGeoSchDG/12</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