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AgrarAusbV</w:t>
      </w:r>
    </w:p>
    <w:p>
      <w:r>
        <w:rPr>
          <w:color w:val="555555"/>
          <w:sz w:val="18"/>
        </w:rPr>
        <w:t xml:space="preserve">Verordnung über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 vom 23. März 2005 (BGBl. I S. 931), von denen § 4 Absatz 1 durch Artikel 232 Nummer 1 der Verordnung vom 31. Oktober 2006 (BGBl. I S. 2407) geändert worden ist, verordnet das Bundesministerium für Ernährung, Landwirtschaft und Verbraucherschutz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AgrarAusbV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