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AgrarAusbV — Inkrafttreten</w:t>
      </w:r>
    </w:p>
    <w:p>
      <w:r>
        <w:rPr>
          <w:color w:val="555555"/>
          <w:sz w:val="18"/>
        </w:rPr>
        <w:t xml:space="preserve">Verordnung über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2009 in Kraft.</w:t>
      </w:r>
    </w:p>
    <w:p>
      <w:r>
        <w:rPr>
          <w:color w:val="555555"/>
          <w:sz w:val="17"/>
        </w:rPr>
        <w:t xml:space="preserve">Zitiervorschlag: § 8 AgrarAusbV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