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AgrarAusbV — Dauer der Berufsausbildung</w:t>
      </w:r>
    </w:p>
    <w:p>
      <w:r>
        <w:rPr>
          <w:color w:val="555555"/>
          <w:sz w:val="18"/>
        </w:rPr>
        <w:t xml:space="preserve">Verordnung über die Berufsausbildung zur Fachkraft Agrarservice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AgrarAusbV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