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AgrarAbsFDG — Inkrafttreten</w:t>
      </w:r>
    </w:p>
    <w:p>
      <w:r>
        <w:rPr>
          <w:color w:val="555555"/>
          <w:sz w:val="18"/>
        </w:rPr>
        <w:t xml:space="preserve">Agrarabsatzförderungsdurchführungsgesetz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6 AgrarAbsFDG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https://recht.nulegal.eu/gesetze/AgrarAbsFDG/6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