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AgrarAbsFDG — Bußgeldvorschriften</w:t>
      </w:r>
    </w:p>
    <w:p>
      <w:r>
        <w:rPr>
          <w:color w:val="555555"/>
          <w:sz w:val="18"/>
        </w:rPr>
        <w:t xml:space="preserve">Agrarabsatzförderungsdurchführungsgesetz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leichtfertig</w:t>
      </w:r>
    </w:p>
    <w:p>
      <w:pPr>
        <w:ind w:left="420"/>
      </w:pPr>
      <w:r>
        <w:t xml:space="preserve">1. entgegen § 3 Abs. 2 Nr. 1 eine dort genannte Maßnahme nicht duldet,</w:t>
      </w:r>
    </w:p>
    <w:p>
      <w:pPr>
        <w:ind w:left="420"/>
      </w:pPr>
      <w:r>
        <w:t xml:space="preserve">2. entgegen § 3 Abs. 2 Nr. 2 an einer Besichtigung nicht mitwirkt, eine Unterlage nicht, nicht richtig, nicht vollständig oder nicht rechtzeitig vorlegt oder eine Auskunft nicht, nicht richtig, nicht vollständig oder nicht rechtzeitig erteilt oder</w:t>
      </w:r>
    </w:p>
    <w:p>
      <w:pPr>
        <w:ind w:left="420"/>
      </w:pPr>
      <w:r>
        <w:t xml:space="preserve">3. einer Rechtsverordnung nach § 4 Nr. 2 oder 3 oder einer vollziehbaren Anordnung auf Grund einer solchen Rechtsverordnung zuwiderhandelt, soweit die Rechtsverordnung für einen bestimmten Tatbestand auf diese Bußgeldvorschrift verweist.</w:t>
      </w:r>
    </w:p>
    <w:p>
      <w:r>
        <w:t xml:space="preserve">(2) Die Ordnungswidrigkeit kann mit einer Geldbuße bis zu fünftausend Euro geahndet werden.</w:t>
      </w:r>
    </w:p>
    <w:p>
      <w:r>
        <w:t xml:space="preserve">(3) Verwaltungsbehörde im Sinne des § 36 Abs. 1 Nr. 1 des Gesetzes über Ordnungswidrigkeiten ist die Bundesanstalt.</w:t>
      </w:r>
    </w:p>
    <w:p>
      <w:r>
        <w:rPr>
          <w:color w:val="555555"/>
          <w:sz w:val="17"/>
        </w:rPr>
        <w:t xml:space="preserve">Zitiervorschlag: § 5 AgrarAbsFDG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https://recht.nulegal.eu/gesetze/AgrarAbsFDG/5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