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AgrarAbsFDG — Ermächtigung zum Erlass von Rechtsverordnungen</w:t>
      </w:r>
    </w:p>
    <w:p>
      <w:r>
        <w:rPr>
          <w:color w:val="555555"/>
          <w:sz w:val="18"/>
        </w:rPr>
        <w:t xml:space="preserve">Agrarabsatzförderungsdurchführungsgesetz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wird ermächtigt, durch Rechtsverordnung ohne Zustimmung des Bundesrates, soweit dies zur Durchführung von in § 1 genannten Rechtsakten erforderlich ist, Vorschriften zu erlassen</w:t>
      </w:r>
    </w:p>
    <w:p>
      <w:pPr>
        <w:ind w:left="420"/>
      </w:pPr>
      <w:r>
        <w:t xml:space="preserve">1. über das Verfahren zur Gewährung der Förderungen, insbesondere hinsichtlich einzuhaltender Fristen und der Benutzung von Mustern und Vordrucken,</w:t>
      </w:r>
    </w:p>
    <w:p>
      <w:pPr>
        <w:ind w:left="420"/>
      </w:pPr>
      <w:r>
        <w:t xml:space="preserve">2. über die Pflicht zu Sicherheitsleistungen für Fördermittel sowie über Art, Höhe und Verfahren bei Sicherheiten, insbesondere über Gestellung, Verwaltung, Freigabe und Verfall,</w:t>
      </w:r>
    </w:p>
    <w:p>
      <w:pPr>
        <w:ind w:left="420"/>
      </w:pPr>
      <w:r>
        <w:t xml:space="preserve">3. über die Überwachung der Einhaltung der Regelungen im Sinne des § 1 sowie der auf Grund dieses Gesetzes erlassenen Rechtsverordnungen; § 16 des Gesetzes zur Durchführung der Gemeinsamen Marktorganisationen und der Direktzahlungen ist entsprechend anzuwenden.</w:t>
      </w:r>
    </w:p>
    <w:p>
      <w:r>
        <w:rPr>
          <w:color w:val="555555"/>
          <w:sz w:val="17"/>
        </w:rPr>
        <w:t xml:space="preserve">Zitiervorschlag: § 4 AgrarAbsFDG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https://recht.nulegal.eu/gesetze/AgrarAbsFDG/4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