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AgrarAbsFDG — Anwendungsbereich</w:t>
      </w:r>
    </w:p>
    <w:p>
      <w:r>
        <w:rPr>
          <w:color w:val="555555"/>
          <w:sz w:val="18"/>
        </w:rPr>
        <w:t xml:space="preserve">Agrarabsatzförderungsdurchführungsgesetz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die Durchführung der Rechtsakte der Europäischen Gemeinschaft oder der Europäischen Union über gemeinschaftliche Informations- und Absatzförderungsmaßnahmen für Agrarerzeugnisse.</w:t>
      </w:r>
    </w:p>
    <w:p>
      <w:r>
        <w:rPr>
          <w:color w:val="555555"/>
          <w:sz w:val="17"/>
        </w:rPr>
        <w:t xml:space="preserve">Zitiervorschlag: § 1 AgrarAbsFDG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https://recht.nulegal.eu/gesetze/AgrarAbsFDG/1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