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AgrStruktG — Gemeinsamer Rahmenplan</w:t>
      </w:r>
    </w:p>
    <w:p>
      <w:r>
        <w:rPr>
          <w:color w:val="555555"/>
          <w:sz w:val="18"/>
        </w:rPr>
        <w:t xml:space="preserve">GAK-Gesetz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Erfüllung der Gemeinschaftsaufgabe wird ein gemeinsamer Rahmenplan aufgestellt.</w:t>
      </w:r>
    </w:p>
    <w:p>
      <w:r>
        <w:t xml:space="preserve">(2) Der Rahmenplan ist für den Zeitraum der Finanzplanung aufzustellen, jedes Jahr sachlich zu prüfen, der Entwicklung anzupassen und fortzuführen. Die mehrjährige Finanzplanung des Bundes und der Länder ist zu berücksichtigen.</w:t>
      </w:r>
    </w:p>
    <w:p>
      <w:r>
        <w:rPr>
          <w:color w:val="555555"/>
          <w:sz w:val="17"/>
        </w:rPr>
        <w:t xml:space="preserve">Zitiervorschlag: § 4 AgrStruktG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