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AgrStruktG — Allgemeine Grundsätze</w:t>
      </w:r>
    </w:p>
    <w:p>
      <w:r>
        <w:rPr>
          <w:color w:val="555555"/>
          <w:sz w:val="18"/>
        </w:rPr>
        <w:t xml:space="preserve">GAK-Gesetz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Erfüllung der Gemeinschaftsaufgabe dient dazu,</w:t>
      </w:r>
    </w:p>
    <w:p>
      <w:pPr>
        <w:ind w:left="420"/>
      </w:pPr>
      <w:r>
        <w:t xml:space="preserve">1. eine leistungsfähige, auf künftige Anforderungen ausgerichtete Land- und Forstwirtschaft zu gewährleisten und ihre Wettbewerbsfähigkeit im Gemeinsamen Markt der Europäischen Union zu ermöglichen,</w:t>
      </w:r>
    </w:p>
    <w:p>
      <w:pPr>
        <w:ind w:left="420"/>
      </w:pPr>
      <w:r>
        <w:t xml:space="preserve">2. die nachhaltige Leistungsfähigkeit ländlicher Gebiete, deren integraler Bestandteil eine umwelt- und ressourcenschonende Land- und Forstwirtschaft ist, zu gewährleisten und</w:t>
      </w:r>
    </w:p>
    <w:p>
      <w:pPr>
        <w:ind w:left="420"/>
      </w:pPr>
      <w:r>
        <w:t xml:space="preserve">3. den Küstenschutz zu verbessern.</w:t>
      </w:r>
    </w:p>
    <w:p>
      <w:r>
        <w:t xml:space="preserve">Dabei sind die Ziele und Erfordernisse der Raumordnung, Landesplanung, des Umwelt- und Naturschutzes, der Landschaftspflege sowie des Tierschutzes zu beachten.</w:t>
      </w:r>
    </w:p>
    <w:p>
      <w:r>
        <w:t xml:space="preserve">(2) Bei der Erfüllung der Gemeinschaftsaufgabe sollen räumliche und sachliche Schwerpunkte gebildet werden. Bei den Maßnahmen ist ökologischen Erfordernissen Rechnung zu tragen. Im übrigen sind die Maßnahmen mit anderen öffentlichen Neuordnungs- und Entwicklungsmaßnahmen abzustimmen. Die in § 1 Absatz 1 Nummer 7 genannten Maßnahmen können nur in den von den Ländern definierten Gebieten zur Umsetzung der europäischen Agrarpolitik für den ländlichen Raum durchgeführt werden und im Falle der Buchstaben a bis c außerdem nur, wenn besondere Anstrengungen zur Sicherung der Daseinsvorsorge erforderlich sind.</w:t>
      </w:r>
    </w:p>
    <w:p>
      <w:r>
        <w:rPr>
          <w:color w:val="555555"/>
          <w:sz w:val="17"/>
        </w:rPr>
        <w:t xml:space="preserve">Zitiervorschlag: § 2 AgrStruktG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https://recht.nulegal.eu/gesetze/AgrStruktG/2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