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AgrStruktG — (Inkrafttreten)</w:t>
      </w:r>
    </w:p>
    <w:p>
      <w:r>
        <w:rPr>
          <w:color w:val="555555"/>
          <w:sz w:val="18"/>
        </w:rPr>
        <w:t xml:space="preserve">GAK-Gesetz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12 AgrStruktG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https://recht.nulegal.eu/gesetze/AgrStruktG/12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