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AgrStruktG — Rückzahlung und Verzinsung der Bundesmittel</w:t>
      </w:r>
    </w:p>
    <w:p>
      <w:r>
        <w:rPr>
          <w:color w:val="555555"/>
          <w:sz w:val="18"/>
        </w:rPr>
        <w:t xml:space="preserve">GAK-Gesetz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Beträge, die vom Zuwendungsempfänger zur Tilgung und Verzinsung erhaltener Darlehen oder zum Ausgleich der auf Grund übernommener Bürgschaften erstatteten Ausfälle gezahlt werden, sind vom Land anteilig an den Bund abzuführen.</w:t>
      </w:r>
    </w:p>
    <w:p>
      <w:r>
        <w:t xml:space="preserve">(2) Der Bund kann zugewiesene Bundesmittel von einem Land zurückfordern, wenn die festgelegten Bedingungen ganz oder teilweise nicht erfüllt werden.</w:t>
      </w:r>
    </w:p>
    <w:p>
      <w:r>
        <w:t xml:space="preserve">(3) Beträge, die vom Zuwendungsempfänger wegen Nichterfüllung der Bedingungen zurückgezahlt werden, leitet das Land in Höhe des Bundesanteils einschließlich der anteiligen Zinsen an den Bund weiter.</w:t>
      </w:r>
    </w:p>
    <w:p>
      <w:r>
        <w:t xml:space="preserve">(4) Die an den Bund nach den vorstehenden Absätzen abzuführenden Beträge sind vom Land in Höhe von fünf vom Hundert über dem jeweiligen Basiszinssatz nach § 247 des Bürgerlichen Gesetzbuches zu verzinsen, im Falle des Absatzes 2 vom Zeitpunkt der Auszahlung der Bundesmittel an, in den Fällen der Absätze 1 und 3 vom Beginn des zweiten auf den Eingang des Betrages beim Land folgenden Monats. Der am Ersten des Monats geltende Basiszinssatz ist für jeden Zinstag dieses Monats zugrunde zu legen.</w:t>
      </w:r>
    </w:p>
    <w:p>
      <w:r>
        <w:rPr>
          <w:color w:val="555555"/>
          <w:sz w:val="17"/>
        </w:rPr>
        <w:t xml:space="preserve">Zitiervorschlag: § 11 AgrStruktG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https://recht.nulegal.eu/gesetze/AgrStruktG/11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