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AgrStatV 2015 — Inkrafttreten, Außerkrafttreten</w:t>
      </w:r>
    </w:p>
    <w:p>
      <w:r>
        <w:rPr>
          <w:color w:val="555555"/>
          <w:sz w:val="18"/>
        </w:rPr>
        <w:t xml:space="preserve">Agrarstatistikverordnung</w:t>
      </w:r>
    </w:p>
    <w:p>
      <w:r>
        <w:rPr>
          <w:color w:val="555555"/>
          <w:sz w:val="18"/>
        </w:rPr>
        <w:t xml:space="preserve">Stand: 30.12.2021 (konsolidierte Textfassung, kein amtliches Inkrafttretensdatum)</w:t>
      </w:r>
    </w:p>
    <w:p>
      <w:r>
        <w:t xml:space="preserve">Diese Verordnung tritt am Tag nach der Verkündung in Kraft. Gleichzeitig tritt die Erste Agrarstatistikverordnung vom 20. November 2002 (BGBl. I S. 4415), die zuletzt durch Artikel 4 des Gesetzes vom 6. März 2009 (BGBl. I S. 438) geändert worden ist, außer Kraft.</w:t>
      </w:r>
    </w:p>
    <w:p>
      <w:r>
        <w:rPr>
          <w:color w:val="555555"/>
          <w:sz w:val="17"/>
        </w:rPr>
        <w:t xml:space="preserve">Zitiervorschlag: § 4 AgrStatV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https://recht.nulegal.eu/gesetze/AgrStatV%202015/4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