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AgrStatV 2015 — Aquakulturstatistik</w:t>
      </w:r>
    </w:p>
    <w:p>
      <w:r>
        <w:rPr>
          <w:color w:val="555555"/>
          <w:sz w:val="18"/>
        </w:rPr>
        <w:t xml:space="preserve">Agrarstatistikverordnung</w:t>
      </w:r>
    </w:p>
    <w:p>
      <w:r>
        <w:rPr>
          <w:color w:val="555555"/>
          <w:sz w:val="18"/>
        </w:rPr>
        <w:t xml:space="preserve">Stand: 30.12.2021 (konsolidierte Textfassung, kein amtliches Inkrafttretensdatum)</w:t>
      </w:r>
    </w:p>
    <w:p>
      <w:r>
        <w:t xml:space="preserve">Der Kreis der in der Aquakulturstatistik nach § 68a des Agrarstatistikgesetzes zu Befragenden wird wie folgt eingeschränkt:</w:t>
      </w:r>
    </w:p>
    <w:p>
      <w:pPr>
        <w:ind w:left="420"/>
      </w:pPr>
      <w:r>
        <w:t xml:space="preserve">1. Betriebe mit Teichen ohne nennenswerten kontinuierlichen Durchfluss: Erhebungseinheiten sind solche Betriebe, bei denen die Gesamtgewässerfläche der Teiche mindestens 0,3 Hektar beträgt, und</w:t>
      </w:r>
    </w:p>
    <w:p>
      <w:pPr>
        <w:ind w:left="420"/>
      </w:pPr>
      <w:r>
        <w:t xml:space="preserve">2. Betriebe mit Anlagen ohne Kreislaufführung, die von Wasser kontinuierlich durchflossen werden, sowie mit Anlagen mit einer täglichen Frischwasserzufuhr von mindestens 20 Prozent des Anlagenvolumens: Erhebungseinheiten sind solche Betriebe, bei denen das Gesamtvolumen der genannten Anlagen, soweit es für die Aquakultur verwendbar ist, mindestens 200 Kubikmeter beträgt.</w:t>
      </w:r>
    </w:p>
    <w:p>
      <w:r>
        <w:t xml:space="preserve">Im Übrigen bleibt § 68a des Agrarstatistikgesetzes unberührt.</w:t>
      </w:r>
    </w:p>
    <w:p>
      <w:r>
        <w:rPr>
          <w:color w:val="555555"/>
          <w:sz w:val="17"/>
        </w:rPr>
        <w:t xml:space="preserve">Zitiervorschlag: § 3 AgrStatV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https://recht.nulegal.eu/gesetze/AgrStatV%202015/3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