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AgrStatV 2015 — Baumobstanbauerhebung</w:t>
      </w:r>
    </w:p>
    <w:p>
      <w:r>
        <w:rPr>
          <w:color w:val="555555"/>
          <w:sz w:val="18"/>
        </w:rPr>
        <w:t xml:space="preserve">Agrarstatistikverordnung</w:t>
      </w:r>
    </w:p>
    <w:p>
      <w:r>
        <w:rPr>
          <w:color w:val="555555"/>
          <w:sz w:val="18"/>
        </w:rPr>
        <w:t xml:space="preserve">Stand: 30.12.2021 (konsolidierte Textfassung, kein amtliches Inkrafttretensdatum)</w:t>
      </w:r>
    </w:p>
    <w:p>
      <w:r>
        <w:t xml:space="preserve">Zusätzlich zu den in § 17 Absatz 1 Nummer 2 des Agrarstatistikgesetzes aufgeführten Erhebungsmerkmalen werden bei Äpfeln und Birnen, die als Verwertungsobst verwendet werden, die Pflanzzeitpunkte und die Zahl der Bäume jeweils nach der Fläche erhoben.</w:t>
      </w:r>
    </w:p>
    <w:p>
      <w:r>
        <w:rPr>
          <w:color w:val="555555"/>
          <w:sz w:val="17"/>
        </w:rPr>
        <w:t xml:space="preserve">Zitiervorschlag: § 2 AgrStatV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https://recht.nulegal.eu/gesetze/AgrStatV%202015/2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