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AgrStatV 2015 — Baumschulerhebung</w:t>
      </w:r>
    </w:p>
    <w:p>
      <w:r>
        <w:rPr>
          <w:color w:val="555555"/>
          <w:sz w:val="18"/>
        </w:rPr>
        <w:t xml:space="preserve">Agrarstatistikverordnung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Rahmen der Baumschulerhebung wird die Erhebung der Bestände an Forstpflanzen nach Zahl und Art (§ 14 Absatz 1 des Agrarstatistikgesetzes) ausgesetzt.</w:t>
      </w:r>
    </w:p>
    <w:p>
      <w:r>
        <w:t xml:space="preserve">(2) Unbeschadet des Absatzes 1 umfassen die Erhebungsmerkmale der Baumschulerhebung nach § 14 Absatz 1 des Agrarstatistikgesetzes jeweils zusätzlich die Unterscheidung nach Kulturformen.</w:t>
      </w:r>
    </w:p>
    <w:p>
      <w:r>
        <w:rPr>
          <w:color w:val="555555"/>
          <w:sz w:val="17"/>
        </w:rPr>
        <w:t xml:space="preserve">Zitiervorschlag: § 1 AgrStatV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https://recht.nulegal.eu/gesetze/AgrStatV%202015/1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