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AgrStatG — Erhebungsmerkmale und Berichtszeitraum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Erhebungsmerkmale der Düngemittelstatistik sind der Inlandsabsatz von</w:t>
      </w:r>
    </w:p>
    <w:p>
      <w:pPr>
        <w:ind w:left="420"/>
      </w:pPr>
      <w:r>
        <w:t xml:space="preserve">1. mineralischen Düngemitteln nach Pflanzennährstoffen, Arten und Absatzgebieten jeweils nach der Menge,</w:t>
      </w:r>
    </w:p>
    <w:p>
      <w:pPr>
        <w:ind w:left="420"/>
      </w:pPr>
      <w:r>
        <w:t xml:space="preserve">2. Torf, Kultursubstraten und Blumenerden nach Produktart, Gesamtvolumen und enthaltener Torfmenge nach Volumen.</w:t>
      </w:r>
    </w:p>
    <w:p>
      <w:r>
        <w:t xml:space="preserve">(2) Der Berichtszeitraum für die Erhebungsmerkmale nach Absatz 1 Nummer 1 ist das jeweilige Kalendervierteljahr. Der Berichtszeitraum für die Erhebungsmerkmale nach Absatz 1 Nummer 2 ist das jeweilige Kalenderjahr.</w:t>
      </w:r>
    </w:p>
    <w:p>
      <w:r>
        <w:rPr>
          <w:color w:val="555555"/>
          <w:sz w:val="17"/>
        </w:rPr>
        <w:t xml:space="preserve">Zitiervorschlag: § 90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