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AgrStatG — Erhebungsart, Periodizität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Die Düngemittelstatistik wird allgemein durchgeführt, und zwar</w:t>
      </w:r>
    </w:p>
    <w:p>
      <w:pPr>
        <w:ind w:left="420"/>
      </w:pPr>
      <w:r>
        <w:t xml:space="preserve">1. bei den Unternehmen nach § 88 Nummer 1 vierteljährlich,</w:t>
      </w:r>
    </w:p>
    <w:p>
      <w:pPr>
        <w:ind w:left="420"/>
      </w:pPr>
      <w:r>
        <w:t xml:space="preserve">2. bei den Unternehmen nach § 88 Nummer 2 jährlich, beginnend mit dem Berichtsjahr 2023.</w:t>
      </w:r>
    </w:p>
    <w:p>
      <w:r>
        <w:rPr>
          <w:color w:val="555555"/>
          <w:sz w:val="17"/>
        </w:rPr>
        <w:t xml:space="preserve">Zitiervorschlag: § 89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