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88 AgrStatG — Erhebungseinheiten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19.11.2022 (konsolidierte Textfassung, kein amtliches Inkrafttretensdatum)</w:t>
      </w:r>
    </w:p>
    <w:p>
      <w:r>
        <w:t xml:space="preserve">Erhebungseinheiten der Düngemittelstatistik sind die Unternehmen, die im Geltungsbereich dieses Gesetzes erstmals in Verkehr bringen</w:t>
      </w:r>
    </w:p>
    <w:p>
      <w:pPr>
        <w:ind w:left="420"/>
      </w:pPr>
      <w:r>
        <w:t xml:space="preserve">1. mineralische Düngemittel,</w:t>
      </w:r>
    </w:p>
    <w:p>
      <w:pPr>
        <w:ind w:left="420"/>
      </w:pPr>
      <w:r>
        <w:t xml:space="preserve">2. Torf, Kultursubstrate und Blumenerden.</w:t>
      </w:r>
    </w:p>
    <w:p>
      <w:r>
        <w:rPr>
          <w:color w:val="555555"/>
          <w:sz w:val="17"/>
        </w:rPr>
        <w:t xml:space="preserve">Zitiervorschlag: § 88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https://recht.nulegal.eu/gesetze/AgrStatG/88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