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 AgrStatG — Erhebungsart, Periodizität, Merkmale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Erhebung in forstlichen Erzeugerbetrieben wird als Stichprobe bei höchstens 15 000 Erhebungseinheiten jährlich durchgeführt. Es werden Merkmale über Rohholz erhoben.</w:t>
      </w:r>
    </w:p>
    <w:p>
      <w:r>
        <w:t xml:space="preserve">(2) Die Ergebnisse der Betriebe von natürlichen und juristischen Personen des privaten Rechts können von den Ländern durch die von ihnen zu bestimmenden Stellen geschätzt werden.</w:t>
      </w:r>
    </w:p>
    <w:p>
      <w:r>
        <w:rPr>
          <w:color w:val="555555"/>
          <w:sz w:val="17"/>
        </w:rPr>
        <w:t xml:space="preserve">Zitiervorschlag: § 80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https://recht.nulegal.eu/gesetze/AgrStatG/80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