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AgrStatG — Einzelerhebungen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Holzstatistik umfasst folgende Einzelerhebungen:</w:t>
      </w:r>
    </w:p>
    <w:p>
      <w:pPr>
        <w:ind w:left="420"/>
      </w:pPr>
      <w:r>
        <w:t xml:space="preserve">1. Erhebung in forstlichen Erzeugerbetrieben,</w:t>
      </w:r>
    </w:p>
    <w:p>
      <w:pPr>
        <w:ind w:left="420"/>
      </w:pPr>
      <w:r>
        <w:t xml:space="preserve">2. Erhebung in Betrieben der Holzbearbeitung.</w:t>
      </w:r>
    </w:p>
    <w:p>
      <w:r>
        <w:rPr>
          <w:color w:val="555555"/>
          <w:sz w:val="17"/>
        </w:rPr>
        <w:t xml:space="preserve">Zitiervorschlag: § 78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