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AgrStatG — Erhebungsmerkmale und Berichtszeitpunkt</w:t>
      </w:r>
    </w:p>
    <w:p>
      <w:r>
        <w:rPr>
          <w:color w:val="555555"/>
          <w:sz w:val="18"/>
        </w:rPr>
        <w:t xml:space="preserve">Agrarstatistikgesetz</w:t>
      </w:r>
    </w:p>
    <w:p>
      <w:r>
        <w:rPr>
          <w:color w:val="555555"/>
          <w:sz w:val="18"/>
        </w:rPr>
        <w:t xml:space="preserve">Stand: 10.06.2019 (konsolidierte Textfassung, kein amtliches Inkrafttretensdatum)</w:t>
      </w:r>
    </w:p>
    <w:p>
      <w:r>
        <w:t xml:space="preserve">(1) Erhebungsmerkmale der Bestandserhebung sind die Bestände an Wein und Traubenmost, jeweils untergliedert nach roten und weißen Trauben und nach Kategorien von Erzeugnissen. Beim Handel wird der Wein untergliedert nach Wein inländischer Herkunft, Wein aus anderen Mitgliedstaaten der Europäischen Union und Wein aus Drittländern; bei den Erzeugern wird untergliedert nach Wein mit Ursprung in der Europäischen Union und Wein aus Drittländern. Die inländischen Weine sowie die Weine aus anderen Mitgliedstaaten der Europäischen Union werden untergliedert nach Kategorien des Bezeichnungsschutzes. Die Bestände an Schaumwein beim Handel und bei den Erzeugern sind zusätzlich gesondert in der Untergliederung nach Satz 2 anzugeben.</w:t>
      </w:r>
    </w:p>
    <w:p>
      <w:r>
        <w:t xml:space="preserve">(2) Der Berichtszeitpunkt für die Erhebungsmerkmale nach Absatz 1 ist jeweils der 31. Juli.</w:t>
      </w:r>
    </w:p>
    <w:p>
      <w:r>
        <w:rPr>
          <w:color w:val="555555"/>
          <w:sz w:val="17"/>
        </w:rPr>
        <w:t xml:space="preserve">Zitiervorschlag: § 77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