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AgrStatG — Erhebungsmerkmale und Berichtszeitraum</w:t>
      </w:r>
    </w:p>
    <w:p>
      <w:r>
        <w:rPr>
          <w:color w:val="555555"/>
          <w:sz w:val="18"/>
        </w:rPr>
        <w:t xml:space="preserve">Agrarstatistikgesetz</w:t>
      </w:r>
    </w:p>
    <w:p>
      <w:r>
        <w:rPr>
          <w:color w:val="555555"/>
          <w:sz w:val="18"/>
        </w:rPr>
        <w:t xml:space="preserve">Stand: 10.06.2019 (konsolidierte Textfassung, kein amtliches Inkrafttretensdatum)</w:t>
      </w:r>
    </w:p>
    <w:p>
      <w:r>
        <w:t xml:space="preserve">(1) Erhebungsmerkmale der Ernteerhebung sind die geerntete Traubenmenge nach Rebsorten, Art der Rebfläche und Bestimmung der Trauben jeweils nach roter und weißer Traubenmenge, die Ertragsflächen sowie der Hektarertrag jeweils nach der Art der Rebfläche. Die Gliederung nach der Art der Rebfläche entspricht der Gliederung gemäß Anhang II der Verordnung (EG) Nr. 436/2009 der Kommission vom 26. Mai 2009 mit Durchführungsbestimmungen zur Verordnung (EG) Nr. 479/2008 des Rates hinsichtlich der Weinbaukartei, der obligatorischen Meldungen und der Sammlung von Informationen zur Überwachung des Marktes, der Begleitdokumente für die Beförderung von Weinbauerzeugnissen und der Ein- und Ausgangsbücher im Weinsektor (ABl. L 128 vom 27.5.2009, S. 15) in der jeweils geltenden Fassung.</w:t>
      </w:r>
    </w:p>
    <w:p>
      <w:r>
        <w:t xml:space="preserve">(2) Der Berichtszeitraum für die Erhebungsmerkmale nach Absatz 1 ist der Zeitraum zwischen dem Beginn des Weinwirtschaftsjahres und dem Erhebungszeitpunkt.</w:t>
      </w:r>
    </w:p>
    <w:p>
      <w:r>
        <w:rPr>
          <w:color w:val="555555"/>
          <w:sz w:val="17"/>
        </w:rPr>
        <w:t xml:space="preserve">Zitiervorschlag: § 73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