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AgrStatG — Erhebungsmerkmale und Berichtszeit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Erhebungsmerkmale der Rebflächenerhebung sind</w:t>
      </w:r>
    </w:p>
    <w:p>
      <w:pPr>
        <w:ind w:left="420"/>
      </w:pPr>
      <w:r>
        <w:t xml:space="preserve">1. die Größe der mit Keltertrauben bestockten Rebfläche nach Rebsorten, Anbaugebieten und normaler Verwendung der Erzeugung,</w:t>
      </w:r>
    </w:p>
    <w:p>
      <w:pPr>
        <w:ind w:left="420"/>
      </w:pPr>
      <w:r>
        <w:t xml:space="preserve">2. in Jahren, in denen eine Erhebung der Rebflächen nach der Verordnung (EU) Nr. 1337/2011 des Europäischen Parlaments und des Rates vom 13. Dezember 2011 zu europäischen Statistiken über Dauerkulturen und zur Aufhebung der Verordnung (EWG) Nr. 357/79 des Rates und der Richtlinie 2001/109/EG des Europäischen Parlaments und des Rates (ABl. L 347 vom 30.12.2011, S. 7) in der jeweils geltenden Fassung durchzuführen ist, für Statistiken über Betriebe mit bestockter Rebfläche nach Artikel 3 Absatz 4 dieser Verordnung zusätzlich die Merkmale nach Anhang II dieser Verordnung.</w:t>
      </w:r>
    </w:p>
    <w:p>
      <w:r>
        <w:t xml:space="preserve">(2) Der Berichtszeitpunkt für die Größe der mit Keltertrauben bestockten Rebflächen sowie für die Erhebungsmerkmale nach Absatz 1 Nummer 2 ist jeweils der 31. Juli.</w:t>
      </w:r>
    </w:p>
    <w:p>
      <w:r>
        <w:rPr>
          <w:color w:val="555555"/>
          <w:sz w:val="17"/>
        </w:rPr>
        <w:t xml:space="preserve">Zitiervorschlag: § 71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