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68a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Erhebungseinheiten der Aquakulturstatistik sind die Betriebe, die Aquakultur im Sinne von Artikel 4 Absatz 1 Nummer 25 der Verordnung (EU) Nr. 1380/2013 des Europäischen Parlaments und des Rates vom 11. Dezember 2013 über die Gemeinsame Fischereipolitik und zur Änderung der Verordnungen (EG) Nr. 1954/2003 und (EG) Nr. 1224/2009 des Rates sowie zur Aufhebung der Verordnungen (EG) Nr. 2371/2002 und (EG) Nr. 639/2004 des Rates und des Beschlusses 2004/585/EG des Rates (ABl. L 354 vom 28.12.2013, S. 22) in der jeweils geltenden Fassung betreiben. Soweit sie einer Genehmigungs- oder Registrierungspflicht nach den Bestimmungen der Fischseuchenverordnung vom 24. November 2008 (BGBl. I S. 2315) unterliegen, werden diejenigen Einheiten in die Erhebung einbezogen, die</w:t>
      </w:r>
    </w:p>
    <w:p>
      <w:pPr>
        <w:ind w:left="420"/>
      </w:pPr>
      <w:r>
        <w:t xml:space="preserve">1. in dem nach § 4 Absatz 2 Satz 2 oder § 6 Absatz 3 Satz 1 der Fischseuchenverordnung zu führenden Register erfasst sind,</w:t>
      </w:r>
    </w:p>
    <w:p>
      <w:pPr>
        <w:ind w:left="420"/>
      </w:pPr>
      <w:r>
        <w:t xml:space="preserve">2. eine Anzeige zur Registrierung nach § 6 Absatz 2 der Fischseuchenverordnung abgegeben haben oder</w:t>
      </w:r>
    </w:p>
    <w:p>
      <w:pPr>
        <w:ind w:left="420"/>
      </w:pPr>
      <w:r>
        <w:t xml:space="preserve">3. einen Antrag auf Genehmigung nach § 4 Absatz 1 der Fischseuchenverordnung gestellt haben; dieser Antrag darf nicht unanfechtbar abgelehnt worden sein.</w:t>
      </w:r>
    </w:p>
    <w:p>
      <w:r>
        <w:rPr>
          <w:color w:val="555555"/>
          <w:sz w:val="17"/>
        </w:rPr>
        <w:t xml:space="preserve">Zitiervorschlag: § 68a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