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65a AgrStatG — Einzelerhebungen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Fischerei- und Aquakulturstatistik umfasst folgende Einzelerhebungen:</w:t>
      </w:r>
    </w:p>
    <w:p>
      <w:pPr>
        <w:ind w:left="420"/>
      </w:pPr>
      <w:r>
        <w:t xml:space="preserve">1. Hochsee- und Küstenfischereistatistik,</w:t>
      </w:r>
    </w:p>
    <w:p>
      <w:pPr>
        <w:ind w:left="420"/>
      </w:pPr>
      <w:r>
        <w:t xml:space="preserve">2. Aquakulturstatistik.</w:t>
      </w:r>
    </w:p>
    <w:p>
      <w:r>
        <w:rPr>
          <w:color w:val="555555"/>
          <w:sz w:val="17"/>
        </w:rPr>
        <w:t xml:space="preserve">Zitiervorschlag: § 65a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https://recht.nulegal.eu/gesetze/AgrStatG/65a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