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AgrStatG — Erhebungsmerkmale und Berichtszeitraum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Schlachtgewichtsstatistik sind das Gesamtschlachtgewicht und die Zahl der in § 61 genannten Tiere nach Kategorien und Handelsklassen.</w:t>
      </w:r>
    </w:p>
    <w:p>
      <w:r>
        <w:t xml:space="preserve">(2) Der Berichtszeitraum für die Erhebungsmerkmale nach Absatz 1 ist der jeweilige Monat.</w:t>
      </w:r>
    </w:p>
    <w:p>
      <w:r>
        <w:rPr>
          <w:color w:val="555555"/>
          <w:sz w:val="17"/>
        </w:rPr>
        <w:t xml:space="preserve">Zitiervorschlag: § 62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