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61 AgrStatG — Erhebungsart, Periodizität, Merkmale</w:t>
      </w:r>
    </w:p>
    <w:p>
      <w:r>
        <w:rPr>
          <w:color w:val="555555"/>
          <w:sz w:val="18"/>
        </w:rPr>
        <w:t xml:space="preserve">Agrarstatistikgesetz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Schlachtgewichtsstatistik wird allgemein in jedem Monat durchgeführt. Es werden Merkmale über Schlachtgewichte von Rindern und Schweinen auf Grund der nach der Ersten Fleischgesetz-Durchführungsverordnung in der jeweils geltenden Fassung zu erstattenden Meldungen erhoben.</w:t>
      </w:r>
    </w:p>
    <w:p>
      <w:r>
        <w:rPr>
          <w:color w:val="555555"/>
          <w:sz w:val="17"/>
        </w:rPr>
        <w:t xml:space="preserve">Zitiervorschlag: § 61 AgrStatG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https://recht.nulegal.eu/gesetze/AgrStatG/61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