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Schlachtungs- und Schlachtgewichtsstatistik umfasst folgende Einzelerhebungen:</w:t>
      </w:r>
    </w:p>
    <w:p>
      <w:pPr>
        <w:ind w:left="420"/>
      </w:pPr>
      <w:r>
        <w:t xml:space="preserve">1. Erhebung der Schlachtungen,</w:t>
      </w:r>
    </w:p>
    <w:p>
      <w:pPr>
        <w:ind w:left="420"/>
      </w:pPr>
      <w:r>
        <w:t xml:space="preserve">2. Erhebung der Schlachtgewichte.</w:t>
      </w:r>
    </w:p>
    <w:p>
      <w:r>
        <w:rPr>
          <w:color w:val="555555"/>
          <w:sz w:val="17"/>
        </w:rPr>
        <w:t xml:space="preserve">Zitiervorschlag: § 58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