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AgrStatG — Erhebungsmerkmale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Erhebung in Brütereien sind:</w:t>
      </w:r>
    </w:p>
    <w:p>
      <w:pPr>
        <w:ind w:left="420"/>
      </w:pPr>
      <w:r>
        <w:t xml:space="preserve">1. die Zahl der eingelegten Bruteier zur Erzeugung von Hühnern, Enten, Gänsen, Truthühnern und Perlhühnern sowie die Zahl der geschlüpften Küken, bei Hühnern auch nach Nutzungsrichtung und Verwendungszweck,</w:t>
      </w:r>
    </w:p>
    <w:p>
      <w:pPr>
        <w:ind w:left="420"/>
      </w:pPr>
      <w:r>
        <w:t xml:space="preserve">2. zusätzlich das Fassungsvermögen der Brutanlagen ausschließlich des Schlupfraumes.</w:t>
      </w:r>
    </w:p>
    <w:p>
      <w:r>
        <w:t xml:space="preserve">(2) Der Berichtszeitraum für die Erhebungsmerkmale nach Absatz 1 Nummer 1 ist der jeweilige Monat, für das Erhebungsmerkmal nach Absatz 1 Nummer 2 der Monat Dezember.</w:t>
      </w:r>
    </w:p>
    <w:p>
      <w:r>
        <w:rPr>
          <w:color w:val="555555"/>
          <w:sz w:val="17"/>
        </w:rPr>
        <w:t xml:space="preserve">Zitiervorschlag: § 51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