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AgrStatG — Einzelerhebungen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Geflügelstatistik umfasst folgende Einzelerhebungen:</w:t>
      </w:r>
    </w:p>
    <w:p>
      <w:pPr>
        <w:ind w:left="420"/>
      </w:pPr>
      <w:r>
        <w:t xml:space="preserve">1. Erhebung in Brütereien,</w:t>
      </w:r>
    </w:p>
    <w:p>
      <w:pPr>
        <w:ind w:left="420"/>
      </w:pPr>
      <w:r>
        <w:t xml:space="preserve">2. Erhebung in Unternehmen mit Hennenhaltung,</w:t>
      </w:r>
    </w:p>
    <w:p>
      <w:pPr>
        <w:ind w:left="420"/>
      </w:pPr>
      <w:r>
        <w:t xml:space="preserve">3. Erhebung in Geflügelschlachtereien.</w:t>
      </w:r>
    </w:p>
    <w:p>
      <w:r>
        <w:rPr>
          <w:color w:val="555555"/>
          <w:sz w:val="17"/>
        </w:rPr>
        <w:t xml:space="preserve">Zitiervorschlag: § 48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