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AgrStatG — Allgemeine Vorschrift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Ernteerhebung umfasst:</w:t>
      </w:r>
    </w:p>
    <w:p>
      <w:pPr>
        <w:ind w:left="420"/>
      </w:pPr>
      <w:r>
        <w:t xml:space="preserve">1. Ernte- und Betriebsberichterstattung,</w:t>
      </w:r>
    </w:p>
    <w:p>
      <w:pPr>
        <w:ind w:left="420"/>
      </w:pPr>
      <w:r>
        <w:t xml:space="preserve">2. Besondere Ernte- und Qualitätsermittlung.</w:t>
      </w:r>
    </w:p>
    <w:p>
      <w:r>
        <w:rPr>
          <w:color w:val="555555"/>
          <w:sz w:val="17"/>
        </w:rPr>
        <w:t xml:space="preserve">Zitiervorschlag: § 44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