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AgrStatG — Erhebungsart, Periodizität, Berichtszeitpunkt, Erhebungsmerkmale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30.09.2023 (konsolidierte Textfassung, kein amtliches Inkrafttretensdatum)</w:t>
      </w:r>
    </w:p>
    <w:p>
      <w:r>
        <w:t xml:space="preserve">(1) Die Flächenerhebung wird allgemein jährlich zum Berichtszeitpunkt 31. Dezember des Vorjahres durchgeführt. Sie erfolgt auf der Grundlage von geometrischen Flächenobjekten, die im Liegenschaftskataster oder in anderen Unterlagen der in § 3 genannten Stellen geführt werden.</w:t>
      </w:r>
    </w:p>
    <w:p>
      <w:r>
        <w:t xml:space="preserve">(2) Erhebungsmerkmale sind die Belegung der Bodenflächen nach Art der Landnutzung sowie ergänzende Informationen, insbesondere zur Landbedeckung und zur Art und zum Anlass der Änderung von Eigenschaften eines Flächenobjekts.</w:t>
      </w:r>
    </w:p>
    <w:p>
      <w:r>
        <w:rPr>
          <w:color w:val="555555"/>
          <w:sz w:val="17"/>
        </w:rPr>
        <w:t xml:space="preserve">Zitiervorschlag: § 4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