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AgrStatG — Berichtszeitpunkt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18.07.2019 (konsolidierte Textfassung, kein amtliches Inkrafttretensdatum)</w:t>
      </w:r>
    </w:p>
    <w:p>
      <w:r>
        <w:t xml:space="preserve">Der Berichtszeitpunkt für die Erhebungsmerkmale nach § 31 Absatz 2 ist der Tag der ersten Aufforderung zur Auskunftserteilung.</w:t>
      </w:r>
    </w:p>
    <w:p>
      <w:r>
        <w:rPr>
          <w:color w:val="555555"/>
          <w:sz w:val="17"/>
        </w:rPr>
        <w:t xml:space="preserve">Zitiervorschlag: § 32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