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AgrStatG — Erhebungsart und Erhebungsmerkmale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(1) Die Strukturerhebung der Forstbetriebe wird allgemein durchgeführt.</w:t>
      </w:r>
    </w:p>
    <w:p>
      <w:r>
        <w:t xml:space="preserve">(2) Erhebungsmerkmale der Strukturerhebung der Forstbetriebe sind:</w:t>
      </w:r>
    </w:p>
    <w:p>
      <w:pPr>
        <w:ind w:left="420"/>
      </w:pPr>
      <w:r>
        <w:t xml:space="preserve">1. der Betriebssitz unter Angabe der Lagekoordinaten,</w:t>
      </w:r>
    </w:p>
    <w:p>
      <w:pPr>
        <w:ind w:left="420"/>
      </w:pPr>
      <w:r>
        <w:t xml:space="preserve">2. die Rechtsform des Betriebes,</w:t>
      </w:r>
    </w:p>
    <w:p>
      <w:pPr>
        <w:ind w:left="420"/>
      </w:pPr>
      <w:r>
        <w:t xml:space="preserve">3. die Waldfläche.</w:t>
      </w:r>
    </w:p>
    <w:p>
      <w:r>
        <w:rPr>
          <w:color w:val="555555"/>
          <w:sz w:val="17"/>
        </w:rPr>
        <w:t xml:space="preserve">Zitiervorschlag: § 31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