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AgrStatG — Periodizität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18.07.2019 (konsolidierte Textfassung, kein amtliches Inkrafttretensdatum)</w:t>
      </w:r>
    </w:p>
    <w:p>
      <w:r>
        <w:t xml:space="preserve">Die Strukturerhebung der Forstbetriebe wird im ersten Halbjahr 2022 und dann alle fünf Jahre durchgeführt.</w:t>
      </w:r>
    </w:p>
    <w:p>
      <w:r>
        <w:rPr>
          <w:color w:val="555555"/>
          <w:sz w:val="17"/>
        </w:rPr>
        <w:t xml:space="preserve">Zitiervorschlag: § 30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