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AgrStatG — Erhebungseinheiten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30.09.2023 (konsolidierte Textfassung, kein amtliches Inkrafttretensdatum)</w:t>
      </w:r>
    </w:p>
    <w:p>
      <w:r>
        <w:t xml:space="preserve">Erhebungseinheiten der Flächenerhebung sind die merkmalstragenden Flächenobjekte in den Datenbeständen der nach Landesrecht für die Führung des Liegenschaftskatasters oder entsprechender anderer erforderlicher amtlicher Unterlagen zuständigen Stellen.</w:t>
      </w:r>
    </w:p>
    <w:p>
      <w:r>
        <w:rPr>
          <w:color w:val="555555"/>
          <w:sz w:val="17"/>
        </w:rPr>
        <w:t xml:space="preserve">Zitiervorschlag: § 3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