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AgrStatG — Berichtszeit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Der Berichtzeitraum ist für</w:t>
      </w:r>
    </w:p>
    <w:p>
      <w:pPr>
        <w:ind w:left="420"/>
      </w:pPr>
      <w:r>
        <w:t xml:space="preserve">1. die Erhebungsmerkmale nach § 27 Absatz 2 Nummer 6 Buchstabe a und Nummer 12 Buchstabe a und b: der in § 8 Absatz 2 geregelte Zeitraum,</w:t>
      </w:r>
    </w:p>
    <w:p>
      <w:pPr>
        <w:ind w:left="420"/>
      </w:pPr>
      <w:r>
        <w:t xml:space="preserve">2. das Erhebungsmerkmal nach § 27 Absatz 2 Nummer 8, 17, 22, 23 und 24: das Kalenderjahr 2025,</w:t>
      </w:r>
    </w:p>
    <w:p>
      <w:pPr>
        <w:ind w:left="420"/>
      </w:pPr>
      <w:r>
        <w:t xml:space="preserve">3. das Erhebungsmerkmal nach § 27 Absatz 2 Nummer 13 Buchstabe d sowie die Arbeitszeiten nach § 27 Absatz 2 Nummer 19 und 20: die Monate März 2025 bis Februar 2026,</w:t>
      </w:r>
    </w:p>
    <w:p>
      <w:pPr>
        <w:ind w:left="420"/>
      </w:pPr>
      <w:r>
        <w:t xml:space="preserve">4. die Erhebungsmerkmale nach § 27 Absatz 2 Nummer 13 Buchstabe f sowie nach Absatz 2 Nummer 10 und 11: die letzten zwölf Monate vor dem Tag der ersten Aufforderung zur Auskunftserteilung,</w:t>
      </w:r>
    </w:p>
    <w:p>
      <w:pPr>
        <w:ind w:left="420"/>
      </w:pPr>
      <w:r>
        <w:t xml:space="preserve">5. das Erhebungsmerkmal nach § 27 Absatz 2 Nummer 6 Buchstabe c und Nummer 14: das Kalenderjahr 2026,</w:t>
      </w:r>
    </w:p>
    <w:p>
      <w:pPr>
        <w:ind w:left="420"/>
      </w:pPr>
      <w:r>
        <w:t xml:space="preserve">6. die Erhebungsmerkmale nach § 27 Absatz 2 Nummer 15 und 18: die Kalenderjahre 2024 bis 2026,</w:t>
      </w:r>
    </w:p>
    <w:p>
      <w:pPr>
        <w:ind w:left="420"/>
      </w:pPr>
      <w:r>
        <w:t xml:space="preserve">7. die Erhebungsmerkmale nach § 27 Absatz 2 Nummer 16 Buchstabe b bis d: das laufende Pachtjahr,</w:t>
      </w:r>
    </w:p>
    <w:p>
      <w:pPr>
        <w:ind w:left="420"/>
      </w:pPr>
      <w:r>
        <w:t xml:space="preserve">8. die Erhebungsmerkmale nach § 27 Absatz 2 Nummer 25: 31. Juli 2025,</w:t>
      </w:r>
    </w:p>
    <w:p>
      <w:pPr>
        <w:ind w:left="420"/>
      </w:pPr>
      <w:r>
        <w:t xml:space="preserve">9. das Erhebungsmerkmal nach § 27 Absatz 2 Nummer 6 Buchstabe b: die Monate Juni des Vorjahres bis Mai des laufenden Jahres.</w:t>
      </w:r>
    </w:p>
    <w:p>
      <w:r>
        <w:t xml:space="preserve">(2) Der Berichtszeitpunkt für die Erhebungsmerkmale nach § 27 Absatz 2 Nummer 7, 9 und 12 Buchstabe c ist der 1. März 2026. Der Berichtszeitpunkt für die übrigen Erhebungsmerkmale nach § 27 Absatz 2 ist der Tag der ersten Aufforderung zur Auskunftserteilung.</w:t>
      </w:r>
    </w:p>
    <w:p>
      <w:r>
        <w:rPr>
          <w:color w:val="555555"/>
          <w:sz w:val="17"/>
        </w:rPr>
        <w:t xml:space="preserve">Zitiervorschlag: § 28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