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25 AgrStatG — Erhebungseinheiten</w:t>
      </w:r>
    </w:p>
    <w:p>
      <w:r>
        <w:rPr>
          <w:color w:val="555555"/>
          <w:sz w:val="18"/>
        </w:rPr>
        <w:t xml:space="preserve">Agrarstatistikgesetz</w:t>
      </w:r>
    </w:p>
    <w:p>
      <w:r>
        <w:rPr>
          <w:color w:val="555555"/>
          <w:sz w:val="18"/>
        </w:rPr>
        <w:t xml:space="preserve">Stand: 18.07.2019 (konsolidierte Textfassung, kein amtliches Inkrafttretensdatum)</w:t>
      </w:r>
    </w:p>
    <w:p>
      <w:r>
        <w:t xml:space="preserve">Erhebungseinheiten der Agrarstrukturerhebung sind die Betriebe nach § 91 Absatz 1a Nummer 1.</w:t>
      </w:r>
    </w:p>
    <w:p>
      <w:r>
        <w:rPr>
          <w:color w:val="555555"/>
          <w:sz w:val="17"/>
        </w:rPr>
        <w:t xml:space="preserve">Zitiervorschlag: § 25 AgrStatG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https://recht.nulegal.eu/gesetze/AgrStatG/25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