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AgrStatG — Einzelerhebungen</w:t>
      </w:r>
    </w:p>
    <w:p>
      <w:r>
        <w:rPr>
          <w:color w:val="555555"/>
          <w:sz w:val="18"/>
        </w:rPr>
        <w:t xml:space="preserve">Agrarstatistikgesetz</w:t>
      </w:r>
    </w:p>
    <w:p>
      <w:r>
        <w:rPr>
          <w:color w:val="555555"/>
          <w:sz w:val="18"/>
        </w:rPr>
        <w:t xml:space="preserve">Stand: 18.07.2019 (konsolidierte Textfassung, kein amtliches Inkrafttretensdatum)</w:t>
      </w:r>
    </w:p>
    <w:p>
      <w:r>
        <w:t xml:space="preserve">(1) Die Strukturerhebungen umfassen folgende Einzelerhebungen:</w:t>
      </w:r>
    </w:p>
    <w:p>
      <w:pPr>
        <w:ind w:left="420"/>
      </w:pPr>
      <w:r>
        <w:t xml:space="preserve">1. Agrarstrukturerhebung (§§ 25 bis 28),</w:t>
      </w:r>
    </w:p>
    <w:p>
      <w:pPr>
        <w:ind w:left="420"/>
      </w:pPr>
      <w:r>
        <w:t xml:space="preserve">2. Strukturerhebung der Forstbetriebe (§§ 29 bis 33).</w:t>
      </w:r>
    </w:p>
    <w:p>
      <w:r>
        <w:t xml:space="preserve">(2) Zur räumlichen Darstellung statistischer Ergebnisse dürfen die Angaben aus den Erhebungen nach Absatz 1 geografischen Gitterzellen zugeordnet werden, die mindestens 100 Hektar groß sind.</w:t>
      </w:r>
    </w:p>
    <w:p>
      <w:r>
        <w:rPr>
          <w:color w:val="555555"/>
          <w:sz w:val="17"/>
        </w:rPr>
        <w:t xml:space="preserve">Zitiervorschlag: § 24 AgrStatG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https://recht.nulegal.eu/gesetze/AgrStatG/24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