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AgrStatG — Erhebungsmerkmale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Erhebungsmerkmale der Erhebung über die Viehbestände sind:</w:t>
      </w:r>
    </w:p>
    <w:p>
      <w:pPr>
        <w:ind w:left="420"/>
      </w:pPr>
      <w:r>
        <w:t xml:space="preserve">1. bei den Beständen an Rindern und Schafen: die Zahl, das Alter, das Geschlecht und der Nutzungszweck der Tiere,</w:t>
      </w:r>
    </w:p>
    <w:p>
      <w:pPr>
        <w:ind w:left="420"/>
      </w:pPr>
      <w:r>
        <w:t xml:space="preserve">2. bei den Beständen an Schweinen: die Zahl der Tiere nach Lebendgewichtsklassen und Nutzungszweck, bei Zuchtschweinen außerdem das Geschlecht und bei Zuchtsauen die Trächtigkeit.</w:t>
      </w:r>
    </w:p>
    <w:p>
      <w:r>
        <w:rPr>
          <w:color w:val="555555"/>
          <w:sz w:val="17"/>
        </w:rPr>
        <w:t xml:space="preserve">Zitiervorschlag: § 20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