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AgrStatG — Einzelerhebungen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Die Bodennutzungserhebung umfasst folgende Einzelerhebungen:</w:t>
      </w:r>
    </w:p>
    <w:p>
      <w:pPr>
        <w:ind w:left="420"/>
      </w:pPr>
      <w:r>
        <w:t xml:space="preserve">1. Flächenerhebung,</w:t>
      </w:r>
    </w:p>
    <w:p>
      <w:pPr>
        <w:ind w:left="420"/>
      </w:pPr>
      <w:r>
        <w:t xml:space="preserve">2. Erhebung der Bodennutzung landwirtschaftlicher Betriebe,</w:t>
      </w:r>
    </w:p>
    <w:p>
      <w:pPr>
        <w:ind w:left="420"/>
      </w:pPr>
      <w:r>
        <w:t xml:space="preserve">3. Zierpflanzenerhebung,</w:t>
      </w:r>
    </w:p>
    <w:p>
      <w:pPr>
        <w:ind w:left="420"/>
      </w:pPr>
      <w:r>
        <w:t xml:space="preserve">4. Gemüseerhebung,</w:t>
      </w:r>
    </w:p>
    <w:p>
      <w:pPr>
        <w:ind w:left="420"/>
      </w:pPr>
      <w:r>
        <w:t xml:space="preserve">5. Baumschulerhebung,</w:t>
      </w:r>
    </w:p>
    <w:p>
      <w:pPr>
        <w:ind w:left="420"/>
      </w:pPr>
      <w:r>
        <w:t xml:space="preserve">6. Baumobstanbauerhebung,</w:t>
      </w:r>
    </w:p>
    <w:p>
      <w:pPr>
        <w:ind w:left="420"/>
      </w:pPr>
      <w:r>
        <w:t xml:space="preserve">7. Strauchbeerenerhebung.</w:t>
      </w:r>
    </w:p>
    <w:p>
      <w:r>
        <w:rPr>
          <w:color w:val="555555"/>
          <w:sz w:val="17"/>
        </w:rPr>
        <w:t xml:space="preserve">Zitiervorschlag: § 2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