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17c AgrStatG — Erhebungsmerkmale und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Strauchbeerenerhebung sind</w:t>
      </w:r>
    </w:p>
    <w:p>
      <w:pPr>
        <w:ind w:left="420"/>
      </w:pPr>
      <w:r>
        <w:t xml:space="preserve">1. jährlich</w:t>
      </w:r>
    </w:p>
    <w:p>
      <w:pPr>
        <w:ind w:left="780"/>
      </w:pPr>
      <w:r>
        <w:t xml:space="preserve">a) die Anbaufläche und Erntemenge nach Pflanzenarten im Freiland und unter hohen begehbaren Schutzabdeckungen, die Kulturformen, beim Schwarzen Holunder zusätzlich die Nutzungsart und beim Sanddorn zusätzlich der Stand der Ertragsfähigkeit,</w:t>
      </w:r>
    </w:p>
    <w:p>
      <w:pPr>
        <w:ind w:left="780"/>
      </w:pPr>
      <w:r>
        <w:t xml:space="preserve">b) die Angabe zur ökologischen Wirtschaftsweise,</w:t>
      </w:r>
    </w:p>
    <w:p>
      <w:pPr>
        <w:ind w:left="420"/>
      </w:pPr>
      <w:r>
        <w:t xml:space="preserve">2. zusätzlich alle drei Jahre, beginnend 2012, die Ernteverwendung.</w:t>
      </w:r>
    </w:p>
    <w:p>
      <w:r>
        <w:t xml:space="preserve">(2) Der Berichtszeitraum für die Erhebungsmerkmale nach Absatz 1 Nummer 1 Buchstabe a und Nummer 2 ist das laufende Kalenderjahr. Der Berichtszeitpunkt für die Erhebungsmerkmale nach Absatz 1 Nummer 1 Buchstabe b ist der Tag der ersten Aufforderung zur Auskunftserteilung.</w:t>
      </w:r>
    </w:p>
    <w:p>
      <w:r>
        <w:rPr>
          <w:color w:val="555555"/>
          <w:sz w:val="17"/>
        </w:rPr>
        <w:t xml:space="preserve">Zitiervorschlag: § 17c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