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17a AgrStatG — Erhebungseinheiten</w:t>
      </w:r>
    </w:p>
    <w:p>
      <w:r>
        <w:rPr>
          <w:color w:val="555555"/>
          <w:sz w:val="18"/>
        </w:rPr>
        <w:t xml:space="preserve">Agrarstatistikgesetz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Erhebungseinheiten der Strauchbeerenerhebung sind die Betriebe nach § 91 Absatz 1 mit Strauchbeerenflächen von mindestens 0,5 Hektar im Freiland oder mindestens 0,1 Hektar unter hohen begehbaren Schutzabdeckungen.</w:t>
      </w:r>
    </w:p>
    <w:p>
      <w:r>
        <w:rPr>
          <w:color w:val="555555"/>
          <w:sz w:val="17"/>
        </w:rPr>
        <w:t xml:space="preserve">Zitiervorschlag: § 17a AgrStatG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https://recht.nulegal.eu/gesetze/AgrStatG/17a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