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AgrStatG — Erhebungsmerkmale und Berichtszeitpunkt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Baumobstanbauerhebung sind:</w:t>
      </w:r>
    </w:p>
    <w:p>
      <w:pPr>
        <w:ind w:left="420"/>
      </w:pPr>
      <w:r>
        <w:t xml:space="preserve">1. die Gesamtfläche des Baumobstanbaus,</w:t>
      </w:r>
    </w:p>
    <w:p>
      <w:pPr>
        <w:ind w:left="420"/>
      </w:pPr>
      <w:r>
        <w:t xml:space="preserve">2. die Obstarten nach der Fläche und dem Verwendungszweck des Obstes sowie für Tafeläpfel und Tafelbirnen zusätzlich die Sorten, die Pflanzzeitpunkte und die Zahl der Bäume jeweils nach der Fläche,</w:t>
      </w:r>
    </w:p>
    <w:p>
      <w:pPr>
        <w:ind w:left="420"/>
      </w:pPr>
      <w:r>
        <w:t xml:space="preserve">3. die Angabe zur ökologischen Wirtschaftsweise.</w:t>
      </w:r>
    </w:p>
    <w:p>
      <w:r>
        <w:t xml:space="preserve">(2) Der Berichtszeitpunkt ist der Tag der ersten Aufforderung zur Auskunftserteilung.</w:t>
      </w:r>
    </w:p>
    <w:p>
      <w:r>
        <w:rPr>
          <w:color w:val="555555"/>
          <w:sz w:val="17"/>
        </w:rPr>
        <w:t xml:space="preserve">Zitiervorschlag: § 17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