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AgrStatG — Erhebungsart, Periodizität, Erhebungszeitraum</w:t>
      </w:r>
    </w:p>
    <w:p>
      <w:r>
        <w:rPr>
          <w:color w:val="555555"/>
          <w:sz w:val="18"/>
        </w:rPr>
        <w:t xml:space="preserve">Agrarstatistikgesetz</w:t>
      </w:r>
    </w:p>
    <w:p>
      <w:r>
        <w:rPr>
          <w:color w:val="555555"/>
          <w:sz w:val="18"/>
        </w:rPr>
        <w:t xml:space="preserve">Stand: 10.06.2019 (konsolidierte Textfassung, kein amtliches Inkrafttretensdatum)</w:t>
      </w:r>
    </w:p>
    <w:p>
      <w:r>
        <w:t xml:space="preserve">(1) Die Gemüseerhebung wird durchgeführt:</w:t>
      </w:r>
    </w:p>
    <w:p>
      <w:pPr>
        <w:ind w:left="420"/>
      </w:pPr>
      <w:r>
        <w:t xml:space="preserve">1. bei den Betrieben nach § 11a Nummer 1</w:t>
      </w:r>
    </w:p>
    <w:p>
      <w:pPr>
        <w:ind w:left="780"/>
      </w:pPr>
      <w:r>
        <w:t xml:space="preserve">a) allgemein alle vier Jahre, beginnend 2012,</w:t>
      </w:r>
    </w:p>
    <w:p>
      <w:pPr>
        <w:ind w:left="780"/>
      </w:pPr>
      <w:r>
        <w:t xml:space="preserve">b) jährlich mit Ausnahme der Jahre, in denen die Erhebung nach Buchstabe a stattfindet, als Stichprobe bei höchstens 6 000 Betrieben, beginnend 2013;</w:t>
      </w:r>
    </w:p>
    <w:p>
      <w:pPr>
        <w:ind w:left="420"/>
      </w:pPr>
      <w:r>
        <w:t xml:space="preserve">abweichend davon werden die Erhebungsmerkmale zur Erntemenge in Jahren mit allgemeiner Erhebung bei höchstens 6 000 Betrieben ermittelt;</w:t>
      </w:r>
    </w:p>
    <w:p>
      <w:pPr>
        <w:ind w:left="420"/>
      </w:pPr>
      <w:r>
        <w:t xml:space="preserve">2. bei den Betrieben nach § 11a Nummer 2 allgemein jährlich, beginnend mit dem Berichtsjahr 2012.</w:t>
      </w:r>
    </w:p>
    <w:p>
      <w:r>
        <w:t xml:space="preserve">(2) Die Erhebung nach Absatz 1 Nummer 1 wird in den Ländern Berlin und Bremen nicht durchgeführt.</w:t>
      </w:r>
    </w:p>
    <w:p>
      <w:r>
        <w:t xml:space="preserve">(3) Erhebungszeitraum bei den Betrieben nach § 11a Nummer 1 sind die Monate Juni bis Dezember. Zur Ermittlung eines vorläufigen Ergebnisses für Spargel und Erdbeeren wird eine Vorerhebung in der Zeit von Juni bis September durchgeführt. Die Haupterhebung wird in der Zeit von Oktober bis Dezember durchgeführt.</w:t>
      </w:r>
    </w:p>
    <w:p>
      <w:r>
        <w:t xml:space="preserve">(4) Erhebungszeitraum bei den Betrieben nach § 11a Nummer 2 sind die Monate Januar und Februar des Folgejahres.</w:t>
      </w:r>
    </w:p>
    <w:p>
      <w:r>
        <w:rPr>
          <w:color w:val="555555"/>
          <w:sz w:val="17"/>
        </w:rPr>
        <w:t xml:space="preserve">Zitiervorschlag: § 11b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